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7" w:lineRule="auto"/>
        <w:ind w:firstLine="552"/>
        <w:jc w:val="both"/>
        <w:rPr>
          <w:rFonts w:hint="eastAsia" w:ascii="宋体" w:hAnsi="宋体" w:eastAsia="宋体" w:cs="宋体"/>
          <w:bCs/>
          <w:spacing w:val="-4"/>
          <w:kern w:val="0"/>
          <w:sz w:val="28"/>
          <w:szCs w:val="28"/>
          <w:lang w:eastAsia="zh-CN"/>
        </w:rPr>
      </w:pPr>
    </w:p>
    <w:p>
      <w:pPr>
        <w:spacing w:line="267" w:lineRule="auto"/>
        <w:ind w:firstLine="552"/>
        <w:jc w:val="both"/>
        <w:rPr>
          <w:rFonts w:ascii="宋体" w:hAnsi="宋体" w:eastAsia="宋体" w:cs="宋体"/>
          <w:bCs/>
          <w:spacing w:val="-4"/>
          <w:kern w:val="0"/>
          <w:sz w:val="28"/>
          <w:szCs w:val="28"/>
          <w:lang w:eastAsia="zh-CN"/>
        </w:rPr>
      </w:pPr>
      <w:r>
        <w:rPr>
          <w:rFonts w:hint="eastAsia" w:ascii="宋体" w:hAnsi="宋体" w:eastAsia="宋体" w:cs="宋体"/>
          <w:bCs/>
          <w:spacing w:val="-4"/>
          <w:kern w:val="0"/>
          <w:sz w:val="28"/>
          <w:szCs w:val="28"/>
          <w:lang w:eastAsia="zh-CN"/>
        </w:rPr>
        <w:t>附件</w:t>
      </w:r>
      <w:r>
        <w:rPr>
          <w:rFonts w:hint="eastAsia" w:ascii="宋体" w:hAnsi="宋体" w:eastAsia="宋体" w:cs="宋体"/>
          <w:bCs/>
          <w:spacing w:val="-4"/>
          <w:kern w:val="0"/>
          <w:sz w:val="28"/>
          <w:szCs w:val="28"/>
          <w:lang w:val="en-US" w:eastAsia="zh-CN"/>
        </w:rPr>
        <w:t>5</w:t>
      </w:r>
    </w:p>
    <w:p>
      <w:pPr>
        <w:spacing w:before="201" w:line="578" w:lineRule="exact"/>
        <w:ind w:left="2169"/>
        <w:rPr>
          <w:rFonts w:ascii="黑体" w:hAnsi="黑体" w:eastAsia="黑体" w:cs="黑体"/>
          <w:sz w:val="42"/>
          <w:szCs w:val="42"/>
        </w:rPr>
      </w:pPr>
      <w:r>
        <w:rPr>
          <w:rFonts w:ascii="Times New Roman" w:hAnsi="Times New Roman" w:eastAsia="Times New Roman" w:cs="Times New Roman"/>
          <w:spacing w:val="15"/>
          <w:position w:val="10"/>
          <w:sz w:val="42"/>
          <w:szCs w:val="42"/>
        </w:rPr>
        <w:t>202</w:t>
      </w:r>
      <w:r>
        <w:rPr>
          <w:rFonts w:hint="eastAsia" w:ascii="Times New Roman" w:hAnsi="Times New Roman" w:eastAsia="宋体" w:cs="Times New Roman"/>
          <w:spacing w:val="15"/>
          <w:position w:val="10"/>
          <w:sz w:val="42"/>
          <w:szCs w:val="42"/>
          <w:lang w:val="en-US" w:eastAsia="zh-CN"/>
        </w:rPr>
        <w:t>2</w:t>
      </w:r>
      <w:r>
        <w:rPr>
          <w:rFonts w:ascii="黑体" w:hAnsi="黑体" w:eastAsia="黑体" w:cs="黑体"/>
          <w:spacing w:val="15"/>
          <w:position w:val="10"/>
          <w:sz w:val="42"/>
          <w:szCs w:val="42"/>
        </w:rPr>
        <w:t>年度</w:t>
      </w:r>
      <w:r>
        <w:rPr>
          <w:rFonts w:hint="eastAsia" w:ascii="黑体" w:hAnsi="黑体" w:eastAsia="黑体" w:cs="黑体"/>
          <w:spacing w:val="15"/>
          <w:position w:val="10"/>
          <w:sz w:val="42"/>
          <w:szCs w:val="42"/>
        </w:rPr>
        <w:t>汨罗市耕地保护专项规划和耕地保护一张图编制工作技术服务经费</w:t>
      </w:r>
      <w:r>
        <w:rPr>
          <w:rFonts w:ascii="黑体" w:hAnsi="黑体" w:eastAsia="黑体" w:cs="黑体"/>
          <w:spacing w:val="15"/>
          <w:position w:val="10"/>
          <w:sz w:val="42"/>
          <w:szCs w:val="42"/>
        </w:rPr>
        <w:t>项目支出</w:t>
      </w:r>
    </w:p>
    <w:p>
      <w:pPr>
        <w:spacing w:before="1" w:line="220" w:lineRule="auto"/>
        <w:ind w:left="3069"/>
        <w:rPr>
          <w:rFonts w:ascii="黑体" w:hAnsi="黑体" w:eastAsia="黑体" w:cs="黑体"/>
          <w:sz w:val="42"/>
          <w:szCs w:val="42"/>
        </w:rPr>
      </w:pPr>
      <w:r>
        <w:rPr>
          <w:rFonts w:ascii="黑体" w:hAnsi="黑体" w:eastAsia="黑体" w:cs="黑体"/>
          <w:spacing w:val="10"/>
          <w:sz w:val="42"/>
          <w:szCs w:val="42"/>
        </w:rPr>
        <w:t>绩效自评报告</w:t>
      </w: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2"/>
        <w:spacing w:before="89" w:line="221" w:lineRule="auto"/>
        <w:ind w:left="2270"/>
        <w:rPr>
          <w:sz w:val="27"/>
          <w:szCs w:val="27"/>
        </w:rPr>
      </w:pPr>
      <w:r>
        <w:rPr>
          <w:spacing w:val="-22"/>
          <w:sz w:val="27"/>
          <w:szCs w:val="27"/>
        </w:rPr>
        <w:t>部 门 ( 单</w:t>
      </w:r>
      <w:r>
        <w:rPr>
          <w:spacing w:val="-19"/>
          <w:sz w:val="27"/>
          <w:szCs w:val="27"/>
        </w:rPr>
        <w:t xml:space="preserve"> </w:t>
      </w:r>
      <w:r>
        <w:rPr>
          <w:spacing w:val="-22"/>
          <w:sz w:val="27"/>
          <w:szCs w:val="27"/>
        </w:rPr>
        <w:t>位</w:t>
      </w:r>
      <w:r>
        <w:rPr>
          <w:spacing w:val="-43"/>
          <w:sz w:val="27"/>
          <w:szCs w:val="27"/>
        </w:rPr>
        <w:t xml:space="preserve"> </w:t>
      </w:r>
      <w:r>
        <w:rPr>
          <w:spacing w:val="-22"/>
          <w:sz w:val="27"/>
          <w:szCs w:val="27"/>
        </w:rPr>
        <w:t>)</w:t>
      </w:r>
      <w:r>
        <w:rPr>
          <w:spacing w:val="-36"/>
          <w:sz w:val="27"/>
          <w:szCs w:val="27"/>
        </w:rPr>
        <w:t xml:space="preserve"> </w:t>
      </w:r>
      <w:r>
        <w:rPr>
          <w:spacing w:val="-22"/>
          <w:sz w:val="27"/>
          <w:szCs w:val="27"/>
        </w:rPr>
        <w:t>名</w:t>
      </w:r>
      <w:r>
        <w:rPr>
          <w:spacing w:val="-37"/>
          <w:sz w:val="27"/>
          <w:szCs w:val="27"/>
        </w:rPr>
        <w:t xml:space="preserve"> </w:t>
      </w:r>
      <w:r>
        <w:rPr>
          <w:spacing w:val="-22"/>
          <w:sz w:val="27"/>
          <w:szCs w:val="27"/>
        </w:rPr>
        <w:t>称</w:t>
      </w:r>
      <w:r>
        <w:rPr>
          <w:spacing w:val="-54"/>
          <w:sz w:val="27"/>
          <w:szCs w:val="27"/>
        </w:rPr>
        <w:t xml:space="preserve"> </w:t>
      </w:r>
      <w:r>
        <w:rPr>
          <w:spacing w:val="-22"/>
          <w:sz w:val="27"/>
          <w:szCs w:val="27"/>
        </w:rPr>
        <w:t>：</w:t>
      </w:r>
      <w:r>
        <w:rPr>
          <w:spacing w:val="-22"/>
          <w:sz w:val="27"/>
          <w:szCs w:val="27"/>
          <w:u w:val="single" w:color="auto"/>
        </w:rPr>
        <w:t xml:space="preserve">  </w:t>
      </w:r>
      <w:r>
        <w:rPr>
          <w:rFonts w:hint="eastAsia"/>
          <w:spacing w:val="-22"/>
          <w:sz w:val="27"/>
          <w:szCs w:val="27"/>
          <w:u w:val="single" w:color="auto"/>
          <w:lang w:eastAsia="zh-CN"/>
        </w:rPr>
        <w:t>汨罗市自然资源局</w:t>
      </w:r>
      <w:r>
        <w:rPr>
          <w:spacing w:val="-22"/>
          <w:sz w:val="27"/>
          <w:szCs w:val="27"/>
          <w:u w:val="single" w:color="auto"/>
        </w:rPr>
        <w:t xml:space="preserve"> (盖</w:t>
      </w:r>
      <w:r>
        <w:rPr>
          <w:spacing w:val="64"/>
          <w:sz w:val="27"/>
          <w:szCs w:val="27"/>
          <w:u w:val="single" w:color="auto"/>
        </w:rPr>
        <w:t xml:space="preserve"> </w:t>
      </w:r>
      <w:r>
        <w:rPr>
          <w:spacing w:val="-22"/>
          <w:sz w:val="27"/>
          <w:szCs w:val="27"/>
          <w:u w:val="single" w:color="auto"/>
        </w:rPr>
        <w:t>章)</w:t>
      </w:r>
      <w:r>
        <w:rPr>
          <w:sz w:val="27"/>
          <w:szCs w:val="27"/>
          <w:u w:val="single" w:color="auto"/>
        </w:rPr>
        <w:t xml:space="preserve">     </w:t>
      </w:r>
    </w:p>
    <w:p>
      <w:pPr>
        <w:pStyle w:val="2"/>
        <w:spacing w:before="289" w:line="610" w:lineRule="exact"/>
        <w:ind w:left="3490"/>
        <w:rPr>
          <w:sz w:val="27"/>
          <w:szCs w:val="27"/>
        </w:rPr>
      </w:pPr>
      <w:r>
        <w:rPr>
          <w:rFonts w:hint="eastAsia"/>
          <w:spacing w:val="-13"/>
          <w:position w:val="26"/>
          <w:sz w:val="27"/>
          <w:szCs w:val="27"/>
          <w:lang w:val="en-US" w:eastAsia="zh-CN"/>
        </w:rPr>
        <w:t>2023</w:t>
      </w:r>
      <w:r>
        <w:rPr>
          <w:spacing w:val="-13"/>
          <w:position w:val="26"/>
          <w:sz w:val="27"/>
          <w:szCs w:val="27"/>
        </w:rPr>
        <w:t xml:space="preserve">年 </w:t>
      </w:r>
      <w:r>
        <w:rPr>
          <w:rFonts w:hint="eastAsia"/>
          <w:spacing w:val="-13"/>
          <w:position w:val="26"/>
          <w:sz w:val="27"/>
          <w:szCs w:val="27"/>
          <w:lang w:val="en-US" w:eastAsia="zh-CN"/>
        </w:rPr>
        <w:t>06</w:t>
      </w:r>
      <w:r>
        <w:rPr>
          <w:spacing w:val="-13"/>
          <w:position w:val="26"/>
          <w:sz w:val="27"/>
          <w:szCs w:val="27"/>
        </w:rPr>
        <w:t xml:space="preserve"> 月</w:t>
      </w:r>
      <w:r>
        <w:rPr>
          <w:rFonts w:hint="eastAsia"/>
          <w:spacing w:val="12"/>
          <w:position w:val="26"/>
          <w:sz w:val="27"/>
          <w:szCs w:val="27"/>
          <w:lang w:val="en-US" w:eastAsia="zh-CN"/>
        </w:rPr>
        <w:t>13</w:t>
      </w:r>
      <w:r>
        <w:rPr>
          <w:spacing w:val="-13"/>
          <w:position w:val="26"/>
          <w:sz w:val="27"/>
          <w:szCs w:val="27"/>
        </w:rPr>
        <w:t>日</w:t>
      </w:r>
    </w:p>
    <w:p>
      <w:pPr>
        <w:pStyle w:val="2"/>
        <w:spacing w:before="1" w:line="223" w:lineRule="auto"/>
        <w:ind w:left="3560"/>
        <w:rPr>
          <w:sz w:val="24"/>
          <w:szCs w:val="24"/>
        </w:rPr>
      </w:pPr>
      <w:r>
        <w:rPr>
          <w:spacing w:val="7"/>
          <w:sz w:val="24"/>
          <w:szCs w:val="24"/>
        </w:rPr>
        <w:t>(此面为封面)</w:t>
      </w:r>
    </w:p>
    <w:p>
      <w:pPr>
        <w:spacing w:line="223" w:lineRule="auto"/>
        <w:rPr>
          <w:sz w:val="24"/>
          <w:szCs w:val="24"/>
        </w:rPr>
        <w:sectPr>
          <w:footerReference r:id="rId5" w:type="default"/>
          <w:pgSz w:w="11900" w:h="16820"/>
          <w:pgMar w:top="1429" w:right="1782" w:bottom="1158" w:left="1450" w:header="0" w:footer="850" w:gutter="0"/>
          <w:cols w:space="720" w:num="1"/>
        </w:sectPr>
      </w:pPr>
    </w:p>
    <w:p>
      <w:pPr>
        <w:spacing w:before="137" w:line="221" w:lineRule="auto"/>
        <w:ind w:left="2336"/>
        <w:rPr>
          <w:rFonts w:ascii="黑体" w:hAnsi="黑体" w:eastAsia="黑体" w:cs="黑体"/>
          <w:sz w:val="42"/>
          <w:szCs w:val="42"/>
        </w:rPr>
      </w:pPr>
      <w:r>
        <w:rPr>
          <w:rFonts w:ascii="黑体" w:hAnsi="黑体" w:eastAsia="黑体" w:cs="黑体"/>
          <w:b/>
          <w:bCs/>
          <w:spacing w:val="6"/>
          <w:sz w:val="42"/>
          <w:szCs w:val="42"/>
        </w:rPr>
        <w:t>项目支出绩效评价报告</w:t>
      </w:r>
    </w:p>
    <w:p>
      <w:pPr>
        <w:spacing w:before="190" w:line="227" w:lineRule="auto"/>
        <w:ind w:left="3670"/>
        <w:rPr>
          <w:rFonts w:ascii="楷体" w:hAnsi="楷体" w:eastAsia="楷体" w:cs="楷体"/>
          <w:sz w:val="31"/>
          <w:szCs w:val="31"/>
        </w:rPr>
      </w:pPr>
      <w:r>
        <w:rPr>
          <w:rFonts w:ascii="楷体" w:hAnsi="楷体" w:eastAsia="楷体" w:cs="楷体"/>
          <w:spacing w:val="25"/>
          <w:sz w:val="31"/>
          <w:szCs w:val="31"/>
        </w:rPr>
        <w:t>(参考提纲)</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sz w:val="31"/>
          <w:szCs w:val="31"/>
        </w:rPr>
      </w:pPr>
      <w:r>
        <w:rPr>
          <w:rFonts w:ascii="黑体" w:hAnsi="黑体" w:eastAsia="黑体" w:cs="黑体"/>
          <w:b/>
          <w:bCs/>
          <w:spacing w:val="-15"/>
          <w:sz w:val="31"/>
          <w:szCs w:val="31"/>
        </w:rPr>
        <w:t>一</w:t>
      </w:r>
      <w:r>
        <w:rPr>
          <w:rFonts w:ascii="黑体" w:hAnsi="黑体" w:eastAsia="黑体" w:cs="黑体"/>
          <w:spacing w:val="-15"/>
          <w:sz w:val="31"/>
          <w:szCs w:val="31"/>
        </w:rPr>
        <w:t xml:space="preserve"> </w:t>
      </w:r>
      <w:r>
        <w:rPr>
          <w:rFonts w:ascii="黑体" w:hAnsi="黑体" w:eastAsia="黑体" w:cs="黑体"/>
          <w:b/>
          <w:bCs/>
          <w:spacing w:val="-15"/>
          <w:sz w:val="31"/>
          <w:szCs w:val="31"/>
        </w:rPr>
        <w:t>、项目支出基本情况</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firstLine="562" w:firstLineChars="200"/>
        <w:jc w:val="both"/>
        <w:textAlignment w:val="baseline"/>
        <w:rPr>
          <w:rFonts w:ascii="黑体" w:hAnsi="黑体" w:eastAsia="黑体" w:cs="黑体"/>
          <w:b/>
          <w:bCs/>
          <w:snapToGrid w:val="0"/>
          <w:color w:val="000000"/>
          <w:spacing w:val="-15"/>
          <w:kern w:val="0"/>
          <w:sz w:val="31"/>
          <w:szCs w:val="31"/>
          <w:lang w:val="en-US" w:eastAsia="en-US" w:bidi="ar-SA"/>
        </w:rPr>
      </w:pPr>
      <w:r>
        <w:rPr>
          <w:rFonts w:ascii="黑体" w:hAnsi="黑体" w:eastAsia="黑体" w:cs="黑体"/>
          <w:b/>
          <w:bCs/>
          <w:snapToGrid w:val="0"/>
          <w:color w:val="000000"/>
          <w:spacing w:val="-15"/>
          <w:kern w:val="0"/>
          <w:sz w:val="31"/>
          <w:szCs w:val="31"/>
          <w:lang w:val="en-US" w:eastAsia="en-US" w:bidi="ar-SA"/>
        </w:rPr>
        <w:t>项目支出概况。</w:t>
      </w:r>
    </w:p>
    <w:p>
      <w:pPr>
        <w:keepNext w:val="0"/>
        <w:keepLines w:val="0"/>
        <w:pageBreakBefore w:val="0"/>
        <w:widowControl/>
        <w:numPr>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eastAsia="仿宋_GB2312"/>
          <w:kern w:val="0"/>
          <w:sz w:val="32"/>
          <w:szCs w:val="32"/>
          <w:lang w:eastAsia="zh-CN"/>
        </w:rPr>
      </w:pPr>
      <w:r>
        <w:rPr>
          <w:rFonts w:hint="eastAsia" w:eastAsia="仿宋_GB2312"/>
          <w:kern w:val="0"/>
          <w:sz w:val="32"/>
          <w:szCs w:val="32"/>
          <w:lang w:eastAsia="zh-CN"/>
        </w:rPr>
        <w:t>《汨罗市耕地保护国土空间专项规划》回顾和总结了近年来汨罗市耕地保护工作成效，分析了汨罗市耕地保护面临的形势和挑战，提出了全市耕地保护规划目标，对可长期稳定利用耕地和永久基本农田、耕地后备资源、恢复属性地类实行耕地保护“一张图”管控。《汨罗市耕地保护国土空间专项规划》与《汨罗市国土空间总体规划（2021-2035年）》有效衔接，是全市耕地保护工作的统筹谋划和总体设计，具有战略性、协调性和约束性，是汨罗市开展耕地保护工作的指导性、纲领性文件。</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562" w:firstLineChars="200"/>
        <w:jc w:val="both"/>
        <w:textAlignment w:val="baseline"/>
        <w:rPr>
          <w:rFonts w:ascii="黑体" w:hAnsi="黑体" w:eastAsia="黑体" w:cs="黑体"/>
          <w:b/>
          <w:bCs/>
          <w:spacing w:val="-15"/>
          <w:sz w:val="31"/>
          <w:szCs w:val="31"/>
        </w:rPr>
      </w:pPr>
      <w:r>
        <w:rPr>
          <w:rFonts w:ascii="黑体" w:hAnsi="黑体" w:eastAsia="黑体" w:cs="黑体"/>
          <w:b/>
          <w:bCs/>
          <w:spacing w:val="-15"/>
          <w:sz w:val="31"/>
          <w:szCs w:val="31"/>
        </w:rPr>
        <w:t>项目资金使用管理情况。</w:t>
      </w:r>
    </w:p>
    <w:p>
      <w:pPr>
        <w:keepNext w:val="0"/>
        <w:keepLines w:val="0"/>
        <w:pageBreakBefore w:val="0"/>
        <w:widowControl/>
        <w:numPr>
          <w:numId w:val="0"/>
        </w:numPr>
        <w:kinsoku w:val="0"/>
        <w:wordWrap/>
        <w:overflowPunct/>
        <w:topLinePunct w:val="0"/>
        <w:autoSpaceDE w:val="0"/>
        <w:autoSpaceDN w:val="0"/>
        <w:bidi w:val="0"/>
        <w:adjustRightInd w:val="0"/>
        <w:snapToGrid w:val="0"/>
        <w:spacing w:line="560" w:lineRule="exact"/>
        <w:ind w:leftChars="0" w:firstLine="640" w:firstLineChars="200"/>
        <w:jc w:val="both"/>
        <w:textAlignment w:val="baseline"/>
        <w:rPr>
          <w:rFonts w:hint="eastAsia" w:eastAsia="仿宋_GB2312"/>
          <w:kern w:val="0"/>
          <w:sz w:val="32"/>
          <w:szCs w:val="32"/>
          <w:lang w:val="en-US" w:eastAsia="zh-CN"/>
        </w:rPr>
      </w:pPr>
      <w:r>
        <w:rPr>
          <w:rFonts w:hint="eastAsia" w:eastAsia="仿宋_GB2312"/>
          <w:kern w:val="0"/>
          <w:sz w:val="32"/>
          <w:szCs w:val="32"/>
          <w:lang w:val="en-US" w:eastAsia="en-US"/>
        </w:rPr>
        <w:t>建立了相关业务专项财务管理制度，加强资金管理，对项目资金使用情况，实行跟踪监控。一是实行专款专用。二是健全财务机制。建立专项资金管理制度、领导责任制、会计制度和出纳制度等。制定了专项资金使用管理暂行办法，从资金取得-使用管理-用后监管都进行了规定，加强了专项资金使用过程的控制和追踪问效。会计科目设置规范，账务处理正确，入账依据充分，各种审批手续完备。三是执行预决算管理。严格按预算管理要求使用资金，严格按进度和合同拨付资金，严格执行政府采购制度；四是严格审批程序。按照“先报再审后用”的原则，由实施方提出申请，相关单位签署意见确认资金额度，经财务股初审后，报局分管领导审批。五是全程接受财政等部门的监管。严格执行国库集中支付制度，严防截留、挪用资金，打造相关业务专项资金在阳光下运行。</w:t>
      </w:r>
      <w:r>
        <w:rPr>
          <w:rFonts w:hint="eastAsia" w:eastAsia="仿宋_GB2312"/>
          <w:kern w:val="0"/>
          <w:sz w:val="32"/>
          <w:szCs w:val="32"/>
          <w:lang w:val="en-US" w:eastAsia="zh-CN"/>
        </w:rPr>
        <w:tab/>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562" w:firstLineChars="200"/>
        <w:jc w:val="both"/>
        <w:textAlignment w:val="baseline"/>
        <w:rPr>
          <w:rFonts w:hint="eastAsia" w:ascii="Arial" w:hAnsi="Arial" w:eastAsia="仿宋_GB2312" w:cs="Arial"/>
          <w:snapToGrid w:val="0"/>
          <w:color w:val="000000"/>
          <w:kern w:val="0"/>
          <w:sz w:val="32"/>
          <w:szCs w:val="32"/>
          <w:lang w:val="en-US" w:eastAsia="zh-CN" w:bidi="ar-SA"/>
        </w:rPr>
      </w:pPr>
      <w:r>
        <w:rPr>
          <w:rFonts w:ascii="黑体" w:hAnsi="黑体" w:eastAsia="黑体" w:cs="黑体"/>
          <w:b/>
          <w:bCs/>
          <w:snapToGrid w:val="0"/>
          <w:color w:val="000000"/>
          <w:spacing w:val="-15"/>
          <w:kern w:val="0"/>
          <w:sz w:val="31"/>
          <w:szCs w:val="31"/>
          <w:lang w:val="en-US" w:eastAsia="en-US" w:bidi="ar-SA"/>
        </w:rPr>
        <w:t>项目支出绩效目标完成程度</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rPr>
          <w:rFonts w:hint="eastAsia" w:ascii="Arial" w:hAnsi="Arial" w:eastAsia="仿宋_GB2312" w:cs="Arial"/>
          <w:snapToGrid w:val="0"/>
          <w:color w:val="000000"/>
          <w:kern w:val="0"/>
          <w:sz w:val="32"/>
          <w:szCs w:val="32"/>
          <w:lang w:val="en-US" w:eastAsia="zh-CN" w:bidi="ar-SA"/>
        </w:rPr>
      </w:pPr>
      <w:r>
        <w:rPr>
          <w:rFonts w:hint="eastAsia" w:ascii="Arial" w:hAnsi="Arial" w:eastAsia="仿宋_GB2312" w:cs="Arial"/>
          <w:snapToGrid w:val="0"/>
          <w:color w:val="000000"/>
          <w:kern w:val="0"/>
          <w:sz w:val="32"/>
          <w:szCs w:val="32"/>
          <w:lang w:val="en-US" w:eastAsia="zh-CN" w:bidi="ar-SA"/>
        </w:rPr>
        <w:t>项目已编制《汨罗市耕地保护国土空间专项规划》、《汨罗市耕地保护一张图》。项目成果的内容和深度符合自然资源部和湖南省自然资源厅相关规范和技术要求，已完成咨询论证、审查审议，正进行规划公示步骤。</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绩效评价工作情况</w:t>
      </w:r>
    </w:p>
    <w:p>
      <w:pPr>
        <w:spacing w:line="560" w:lineRule="exact"/>
        <w:ind w:firstLine="640" w:firstLineChars="200"/>
        <w:outlineLvl w:val="0"/>
        <w:rPr>
          <w:rFonts w:ascii="黑体" w:hAnsi="黑体" w:eastAsia="黑体" w:cs="黑体"/>
          <w:b/>
          <w:bCs/>
          <w:spacing w:val="-15"/>
          <w:sz w:val="31"/>
          <w:szCs w:val="31"/>
        </w:rPr>
      </w:pPr>
      <w:r>
        <w:rPr>
          <w:rFonts w:hint="eastAsia" w:eastAsia="仿宋_GB2312"/>
          <w:sz w:val="32"/>
          <w:szCs w:val="32"/>
          <w:lang w:eastAsia="zh-CN"/>
        </w:rPr>
        <w:t>得到服务对象充分肯定，满意度为</w:t>
      </w:r>
      <w:r>
        <w:rPr>
          <w:rFonts w:eastAsia="仿宋_GB2312"/>
          <w:sz w:val="32"/>
          <w:szCs w:val="32"/>
          <w:lang w:eastAsia="zh-CN"/>
        </w:rPr>
        <w:t>100%</w:t>
      </w:r>
      <w:r>
        <w:rPr>
          <w:rFonts w:hint="eastAsia" w:eastAsia="仿宋_GB231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三 、项目支出主要绩效及评价结论</w:t>
      </w:r>
    </w:p>
    <w:p>
      <w:pPr>
        <w:spacing w:line="560" w:lineRule="exact"/>
        <w:ind w:firstLine="640" w:firstLineChars="200"/>
        <w:outlineLvl w:val="0"/>
        <w:rPr>
          <w:rFonts w:ascii="黑体" w:hAnsi="黑体" w:eastAsia="黑体" w:cs="黑体"/>
          <w:b/>
          <w:bCs/>
          <w:spacing w:val="-15"/>
          <w:sz w:val="31"/>
          <w:szCs w:val="31"/>
        </w:rPr>
      </w:pPr>
      <w:r>
        <w:rPr>
          <w:rFonts w:hint="eastAsia" w:eastAsia="仿宋_GB2312"/>
          <w:sz w:val="32"/>
          <w:szCs w:val="32"/>
          <w:lang w:eastAsia="zh-CN"/>
        </w:rPr>
        <w:t>全年度为全市提供各项数字指标及服务，都获得预期的效益，包括经济效益、社会效益、环境效益、可持续影响。</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四、 绩效评价指标分析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eastAsia="仿宋_GB2312"/>
          <w:kern w:val="0"/>
          <w:sz w:val="32"/>
          <w:szCs w:val="32"/>
          <w:lang w:eastAsia="zh-CN"/>
        </w:rPr>
      </w:pPr>
      <w:r>
        <w:rPr>
          <w:rFonts w:hint="eastAsia" w:eastAsia="仿宋_GB2312"/>
          <w:kern w:val="0"/>
          <w:sz w:val="32"/>
          <w:szCs w:val="32"/>
          <w:lang w:eastAsia="zh-CN"/>
        </w:rPr>
        <w:t>(一)项目支出决策情况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eastAsia="仿宋_GB2312"/>
          <w:kern w:val="0"/>
          <w:sz w:val="32"/>
          <w:szCs w:val="32"/>
          <w:lang w:eastAsia="zh-CN"/>
        </w:rPr>
      </w:pPr>
      <w:r>
        <w:rPr>
          <w:rFonts w:hint="eastAsia" w:eastAsia="仿宋_GB2312"/>
          <w:kern w:val="0"/>
          <w:sz w:val="32"/>
          <w:szCs w:val="32"/>
          <w:lang w:eastAsia="zh-CN"/>
        </w:rPr>
        <w:t>为完成上级交办的任务，守好耕地保护底线目标，确保汨罗市年度耕地总量平衡，项目支出必要、合理。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eastAsia="仿宋_GB2312"/>
          <w:kern w:val="0"/>
          <w:sz w:val="32"/>
          <w:szCs w:val="32"/>
          <w:lang w:eastAsia="zh-CN"/>
        </w:rPr>
      </w:pPr>
      <w:r>
        <w:rPr>
          <w:rFonts w:hint="eastAsia" w:eastAsia="仿宋_GB2312"/>
          <w:kern w:val="0"/>
          <w:sz w:val="32"/>
          <w:szCs w:val="32"/>
          <w:lang w:eastAsia="zh-CN"/>
        </w:rPr>
        <w:t>(二)项目执行过程情况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eastAsia="仿宋_GB2312"/>
          <w:kern w:val="0"/>
          <w:sz w:val="32"/>
          <w:szCs w:val="32"/>
          <w:lang w:eastAsia="zh-CN"/>
        </w:rPr>
      </w:pPr>
      <w:r>
        <w:rPr>
          <w:rFonts w:hint="eastAsia" w:eastAsia="仿宋_GB2312"/>
          <w:kern w:val="0"/>
          <w:sz w:val="32"/>
          <w:szCs w:val="32"/>
          <w:lang w:eastAsia="zh-CN"/>
        </w:rPr>
        <w:t>项目严格按照各级节点要求，编制并提交相关成果。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eastAsia="仿宋_GB2312"/>
          <w:kern w:val="0"/>
          <w:sz w:val="32"/>
          <w:szCs w:val="32"/>
          <w:lang w:eastAsia="zh-CN"/>
        </w:rPr>
      </w:pPr>
      <w:r>
        <w:rPr>
          <w:rFonts w:hint="eastAsia" w:eastAsia="仿宋_GB2312"/>
          <w:kern w:val="0"/>
          <w:sz w:val="32"/>
          <w:szCs w:val="32"/>
          <w:lang w:eastAsia="zh-CN"/>
        </w:rPr>
        <w:t>(三)项目支出产出情况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eastAsia="仿宋_GB2312"/>
          <w:kern w:val="0"/>
          <w:sz w:val="32"/>
          <w:szCs w:val="32"/>
          <w:lang w:eastAsia="zh-CN"/>
        </w:rPr>
      </w:pPr>
      <w:r>
        <w:rPr>
          <w:rFonts w:hint="eastAsia" w:eastAsia="仿宋_GB2312"/>
          <w:kern w:val="0"/>
          <w:sz w:val="32"/>
          <w:szCs w:val="32"/>
          <w:lang w:eastAsia="zh-CN"/>
        </w:rPr>
        <w:t>项目已按照各级要求完成相关工作，项目资金使用的预定目标已如期完成。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eastAsia="仿宋_GB2312"/>
          <w:kern w:val="0"/>
          <w:sz w:val="32"/>
          <w:szCs w:val="32"/>
          <w:lang w:eastAsia="zh-CN"/>
        </w:rPr>
      </w:pPr>
      <w:r>
        <w:rPr>
          <w:rFonts w:hint="eastAsia" w:eastAsia="仿宋_GB2312"/>
          <w:kern w:val="0"/>
          <w:sz w:val="32"/>
          <w:szCs w:val="32"/>
          <w:lang w:eastAsia="zh-CN"/>
        </w:rPr>
        <w:t>(四)项目支出效益情况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eastAsia="仿宋_GB2312"/>
          <w:kern w:val="0"/>
          <w:sz w:val="32"/>
          <w:szCs w:val="32"/>
          <w:lang w:eastAsia="zh-CN"/>
        </w:rPr>
      </w:pPr>
      <w:r>
        <w:rPr>
          <w:rFonts w:hint="eastAsia" w:eastAsia="仿宋_GB2312"/>
          <w:kern w:val="0"/>
          <w:sz w:val="32"/>
          <w:szCs w:val="32"/>
          <w:lang w:eastAsia="zh-CN"/>
        </w:rPr>
        <w:t>项目满足相关图斑销号要求，摸清了年度耕地流入流出情况，完成了耕地相关指标绩效考核。</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五、主要经验及做法、存在的问题及原因分析</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rPr>
          <w:rFonts w:hint="eastAsia" w:ascii="Arial" w:hAnsi="Arial" w:eastAsia="仿宋_GB2312" w:cs="Arial"/>
          <w:snapToGrid w:val="0"/>
          <w:color w:val="000000"/>
          <w:kern w:val="0"/>
          <w:sz w:val="32"/>
          <w:szCs w:val="32"/>
          <w:lang w:val="en-US" w:eastAsia="zh-CN" w:bidi="ar-SA"/>
        </w:rPr>
      </w:pPr>
      <w:r>
        <w:rPr>
          <w:rFonts w:hint="eastAsia" w:ascii="Arial" w:hAnsi="Arial" w:eastAsia="仿宋_GB2312" w:cs="Arial"/>
          <w:snapToGrid w:val="0"/>
          <w:color w:val="000000"/>
          <w:kern w:val="0"/>
          <w:sz w:val="32"/>
          <w:szCs w:val="32"/>
          <w:lang w:val="en-US" w:eastAsia="zh-CN" w:bidi="ar-SA"/>
        </w:rPr>
        <w:t>全年度为全市提供各项数字指标及服务，都获得预期的效益，包括经济效益、社会效益、环境效益、可持续影响。</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ascii="黑体" w:hAnsi="黑体" w:eastAsia="黑体" w:cs="黑体"/>
          <w:b/>
          <w:bCs/>
          <w:spacing w:val="-15"/>
          <w:sz w:val="31"/>
          <w:szCs w:val="31"/>
        </w:rPr>
      </w:pPr>
      <w:r>
        <w:rPr>
          <w:rFonts w:ascii="黑体" w:hAnsi="黑体" w:eastAsia="黑体" w:cs="黑体"/>
          <w:b/>
          <w:bCs/>
          <w:spacing w:val="-15"/>
          <w:sz w:val="31"/>
          <w:szCs w:val="31"/>
        </w:rPr>
        <w:t>有关建议</w:t>
      </w:r>
    </w:p>
    <w:p>
      <w:pPr>
        <w:keepNext w:val="0"/>
        <w:keepLines w:val="0"/>
        <w:pageBreakBefore w:val="0"/>
        <w:widowControl/>
        <w:numPr>
          <w:numId w:val="0"/>
        </w:numPr>
        <w:kinsoku w:val="0"/>
        <w:wordWrap/>
        <w:overflowPunct/>
        <w:topLinePunct w:val="0"/>
        <w:autoSpaceDE w:val="0"/>
        <w:autoSpaceDN w:val="0"/>
        <w:bidi w:val="0"/>
        <w:adjustRightInd w:val="0"/>
        <w:snapToGrid w:val="0"/>
        <w:spacing w:line="560" w:lineRule="exact"/>
        <w:textAlignment w:val="baseline"/>
        <w:outlineLvl w:val="0"/>
        <w:rPr>
          <w:rFonts w:hint="default" w:ascii="Arial" w:hAnsi="Arial" w:eastAsia="仿宋_GB2312" w:cs="Arial"/>
          <w:snapToGrid w:val="0"/>
          <w:color w:val="000000"/>
          <w:kern w:val="0"/>
          <w:sz w:val="32"/>
          <w:szCs w:val="32"/>
          <w:lang w:val="en-US" w:eastAsia="zh-CN" w:bidi="ar-SA"/>
        </w:rPr>
      </w:pPr>
      <w:r>
        <w:rPr>
          <w:rFonts w:hint="eastAsia" w:ascii="黑体" w:hAnsi="黑体" w:eastAsia="黑体" w:cs="黑体"/>
          <w:b/>
          <w:bCs/>
          <w:spacing w:val="-15"/>
          <w:sz w:val="31"/>
          <w:szCs w:val="31"/>
          <w:lang w:val="en-US" w:eastAsia="zh-CN"/>
        </w:rPr>
        <w:t xml:space="preserve">  </w:t>
      </w:r>
      <w:r>
        <w:rPr>
          <w:rFonts w:hint="eastAsia" w:ascii="Arial" w:hAnsi="Arial" w:eastAsia="仿宋_GB2312" w:cs="Arial"/>
          <w:snapToGrid w:val="0"/>
          <w:color w:val="000000"/>
          <w:kern w:val="0"/>
          <w:sz w:val="32"/>
          <w:szCs w:val="32"/>
          <w:lang w:val="en-US" w:eastAsia="zh-CN" w:bidi="ar-SA"/>
        </w:rPr>
        <w:t xml:space="preserve">  无。</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outlineLvl w:val="0"/>
        <w:rPr>
          <w:rFonts w:hint="eastAsia" w:eastAsia="仿宋_GB2312"/>
          <w:kern w:val="0"/>
          <w:sz w:val="32"/>
          <w:szCs w:val="32"/>
          <w:lang w:eastAsia="zh-CN"/>
        </w:rPr>
      </w:pPr>
      <w:r>
        <w:rPr>
          <w:rFonts w:ascii="黑体" w:hAnsi="黑体" w:eastAsia="黑体" w:cs="黑体"/>
          <w:b/>
          <w:bCs/>
          <w:spacing w:val="-15"/>
          <w:sz w:val="31"/>
          <w:szCs w:val="31"/>
        </w:rPr>
        <w:t>七、其他需要说明的问题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textAlignment w:val="baseline"/>
        <w:outlineLvl w:val="0"/>
        <w:rPr>
          <w:rFonts w:hint="default" w:ascii="Arial" w:hAnsi="Arial" w:eastAsia="仿宋_GB2312" w:cs="Arial"/>
          <w:snapToGrid w:val="0"/>
          <w:color w:val="000000"/>
          <w:kern w:val="0"/>
          <w:sz w:val="32"/>
          <w:szCs w:val="32"/>
          <w:lang w:val="en-US" w:eastAsia="zh-CN" w:bidi="ar-SA"/>
        </w:rPr>
      </w:pPr>
      <w:r>
        <w:rPr>
          <w:rFonts w:hint="eastAsia" w:ascii="Arial" w:hAnsi="Arial" w:eastAsia="仿宋_GB2312" w:cs="Arial"/>
          <w:snapToGrid w:val="0"/>
          <w:color w:val="000000"/>
          <w:kern w:val="0"/>
          <w:sz w:val="32"/>
          <w:szCs w:val="32"/>
          <w:lang w:val="en-US" w:eastAsia="zh-CN" w:bidi="ar-SA"/>
        </w:rPr>
        <w:t xml:space="preserve">  </w:t>
      </w:r>
      <w:r>
        <w:rPr>
          <w:rFonts w:hint="eastAsia" w:eastAsia="仿宋_GB2312" w:cs="Arial"/>
          <w:snapToGrid w:val="0"/>
          <w:color w:val="000000"/>
          <w:kern w:val="0"/>
          <w:sz w:val="32"/>
          <w:szCs w:val="32"/>
          <w:lang w:val="en-US" w:eastAsia="zh-CN" w:bidi="ar-SA"/>
        </w:rPr>
        <w:t xml:space="preserve"> </w:t>
      </w:r>
      <w:bookmarkStart w:id="0" w:name="_GoBack"/>
      <w:bookmarkEnd w:id="0"/>
      <w:r>
        <w:rPr>
          <w:rFonts w:hint="eastAsia" w:ascii="Arial" w:hAnsi="Arial" w:eastAsia="仿宋_GB2312" w:cs="Arial"/>
          <w:snapToGrid w:val="0"/>
          <w:color w:val="000000"/>
          <w:kern w:val="0"/>
          <w:sz w:val="32"/>
          <w:szCs w:val="32"/>
          <w:lang w:val="en-US" w:eastAsia="zh-CN" w:bidi="ar-SA"/>
        </w:rPr>
        <w:t>无。</w:t>
      </w:r>
    </w:p>
    <w:p/>
    <w:sectPr>
      <w:footerReference r:id="rId6" w:type="default"/>
      <w:pgSz w:w="11900" w:h="16820"/>
      <w:pgMar w:top="1755" w:right="1227" w:bottom="1485" w:left="1011" w:header="0" w:footer="91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7" w:lineRule="auto"/>
      <w:jc w:val="right"/>
      <w:rPr>
        <w:rFonts w:ascii="宋体" w:hAnsi="宋体" w:eastAsia="宋体" w:cs="宋体"/>
        <w:sz w:val="31"/>
        <w:szCs w:val="3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274"/>
      <w:rPr>
        <w:rFonts w:ascii="宋体" w:hAnsi="宋体" w:eastAsia="宋体" w:cs="宋体"/>
        <w:sz w:val="31"/>
        <w:szCs w:val="3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E4AC2"/>
    <w:multiLevelType w:val="singleLevel"/>
    <w:tmpl w:val="0A5E4AC2"/>
    <w:lvl w:ilvl="0" w:tentative="0">
      <w:start w:val="2"/>
      <w:numFmt w:val="chineseCounting"/>
      <w:suff w:val="nothing"/>
      <w:lvlText w:val="%1、"/>
      <w:lvlJc w:val="left"/>
      <w:rPr>
        <w:rFonts w:hint="eastAsia"/>
      </w:rPr>
    </w:lvl>
  </w:abstractNum>
  <w:abstractNum w:abstractNumId="1">
    <w:nsid w:val="1A6B7913"/>
    <w:multiLevelType w:val="singleLevel"/>
    <w:tmpl w:val="1A6B7913"/>
    <w:lvl w:ilvl="0" w:tentative="0">
      <w:start w:val="1"/>
      <w:numFmt w:val="chineseCounting"/>
      <w:lvlText w:val="(%1)"/>
      <w:lvlJc w:val="left"/>
      <w:pPr>
        <w:tabs>
          <w:tab w:val="left" w:pos="312"/>
        </w:tabs>
      </w:pPr>
      <w:rPr>
        <w:rFonts w:hint="eastAsia"/>
      </w:rPr>
    </w:lvl>
  </w:abstractNum>
  <w:abstractNum w:abstractNumId="2">
    <w:nsid w:val="340E408C"/>
    <w:multiLevelType w:val="singleLevel"/>
    <w:tmpl w:val="340E408C"/>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ZmZlZTEyYzZiODMwNTZlM2VmMzMxNTExOTMxZTMifQ=="/>
  </w:docVars>
  <w:rsids>
    <w:rsidRoot w:val="00000000"/>
    <w:rsid w:val="085065C8"/>
    <w:rsid w:val="0B435DF6"/>
    <w:rsid w:val="17BD5C5B"/>
    <w:rsid w:val="1BB7247D"/>
    <w:rsid w:val="25C048C7"/>
    <w:rsid w:val="281C077C"/>
    <w:rsid w:val="376E5EBD"/>
    <w:rsid w:val="37B207B5"/>
    <w:rsid w:val="3A4F1552"/>
    <w:rsid w:val="424A47ED"/>
    <w:rsid w:val="462F123F"/>
    <w:rsid w:val="56025D87"/>
    <w:rsid w:val="563A0FCF"/>
    <w:rsid w:val="57045582"/>
    <w:rsid w:val="58C12AF6"/>
    <w:rsid w:val="62FA6BB6"/>
    <w:rsid w:val="79312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414</Words>
  <Characters>418</Characters>
  <Lines>0</Lines>
  <Paragraphs>0</Paragraphs>
  <TotalTime>0</TotalTime>
  <ScaleCrop>false</ScaleCrop>
  <LinksUpToDate>false</LinksUpToDate>
  <CharactersWithSpaces>451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2024-06-24T07:58:00Z</dcterms:created>
  <dc:creator>Administrator</dc:creator>
  <cp:lastModifiedBy>企业用户_615845838</cp:lastModifiedBy>
  <dcterms:modified xsi:type="dcterms:W3CDTF">2024-06-26T02:54:43Z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EAEE209D393543049F874C5C069D6DC2_12</vt:lpwstr>
  </property>
</Properties>
</file>